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6.xml.rels" ContentType="application/vnd.openxmlformats-package.relationships+xml"/>
  <Override PartName="/customXml/_rels/item7.xml.rels" ContentType="application/vnd.openxmlformats-package.relationships+xml"/>
  <Override PartName="/customXml/_rels/item3.xml.rels" ContentType="application/vnd.openxmlformats-package.relationships+xml"/>
  <Override PartName="/customXml/_rels/item8.xml.rels" ContentType="application/vnd.openxmlformats-package.relationships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5.xml" ContentType="application/vnd.openxmlformats-officedocument.customXmlProperties+xml"/>
  <Override PartName="/customXml/item5.xml" ContentType="application/xml"/>
  <Override PartName="/customXml/itemProps4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1.xml" ContentType="application/xml"/>
  <Override PartName="/customXml/item7.xml" ContentType="application/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8.xml" ContentType="application/xml"/>
  <Override PartName="/customXml/itemProps8.xml" ContentType="application/vnd.openxmlformats-officedocument.customXmlProperties+xml"/>
  <Override PartName="/customXml/item6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2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left" w:pos="-3240" w:leader="none"/>
        </w:tabs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 xml:space="preserve">ТЕХНИЧЕСКИХ УСЛОВИЙ 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на технологическое присоединение к электрическим сетям АО «ДРСК»</w:t>
      </w:r>
    </w:p>
    <w:p>
      <w:pPr>
        <w:pStyle w:val="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/>
      </w:pPr>
      <w:r>
        <w:rPr>
          <w:color w:val="000000"/>
          <w:sz w:val="26"/>
          <w:szCs w:val="26"/>
        </w:rPr>
        <w:t>Настоящие Технические условия разработаны на основании Заявки от 05.04.2024 ТПр 2231/24 и являются неотъемлемой частью Договора об осуществлении технологического присоединения от ___________ № ___________ энергопринимающих устройств Общества с ограниченной ответственностью «Парк Владивостока», именуемого в дальнейшем – Заявитель, к электрическим сетям Акционерного общества «Дальневосточная распределительная сетевая компания» (далее – Сетевая организация).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/>
      </w:pPr>
      <w:r>
        <w:rPr>
          <w:color w:val="000000"/>
          <w:sz w:val="26"/>
          <w:szCs w:val="26"/>
        </w:rPr>
        <w:t>Настоящие технические условия вступают в силу с даты их утверждения Сетевой организацией и действительны в течение 6 (шести) лет.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spacing w:before="0" w:after="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Наименование энергопринимающих устройств:</w:t>
      </w:r>
      <w:r>
        <w:rPr>
          <w:color w:val="000000"/>
          <w:sz w:val="26"/>
          <w:szCs w:val="26"/>
        </w:rPr>
        <w:t xml:space="preserve"> РП-10 кВ для парка Минный городок.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spacing w:before="0" w:after="0"/>
        <w:ind w:firstLine="567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ListParagraph"/>
        <w:widowControl w:val="false"/>
        <w:spacing w:lineRule="auto" w:line="240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Наименование и месторасположение объектов, в целях энергоснабжения которых осуществляется технологическое присоединение энергопринимающих устройств: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РП-10 кВ для парка Минный городок расположенный по адресу, Приморский край, г. Владивосток, в районе ул. Луговая д.34, кадастровый номер земельного участка 25:28:010033:6906</w:t>
      </w:r>
    </w:p>
    <w:p>
      <w:pPr>
        <w:pStyle w:val="ListParagraph"/>
        <w:widowControl w:val="false"/>
        <w:spacing w:lineRule="auto" w:line="240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spacing w:lineRule="auto" w:line="240" w:before="0" w:after="0"/>
        <w:ind w:left="0" w:firstLine="340"/>
        <w:contextualSpacing/>
        <w:jc w:val="both"/>
        <w:rPr/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Максимальная мощность присоединяемых энергопринимающих устройств: </w:t>
      </w:r>
    </w:p>
    <w:p>
      <w:pPr>
        <w:pStyle w:val="ListParagraph"/>
        <w:widowControl w:val="false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3 327 кВт в том числе;</w:t>
      </w:r>
    </w:p>
    <w:p>
      <w:pPr>
        <w:pStyle w:val="ListParagraph"/>
        <w:widowControl w:val="false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Здание фуд-корта с трибуной-571,7 кВт;</w:t>
      </w:r>
    </w:p>
    <w:p>
      <w:pPr>
        <w:pStyle w:val="ListParagraph"/>
        <w:widowControl w:val="false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Кафе-оранжерея-93,6 кВт;</w:t>
      </w:r>
    </w:p>
    <w:p>
      <w:pPr>
        <w:pStyle w:val="ListParagraph"/>
        <w:widowControl w:val="false"/>
        <w:ind w:left="0" w:firstLine="567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Двухуровневая парковка открытого типа — 60 кВт;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Нестационарные некапитальные объекты и освещение парка -2 601,7 кВт;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Ранее присоединенная в точках присоединения максимальная мощность: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0 кВт.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 xml:space="preserve">Максимальная мощность в точках присоединения с учетом ранее присоединенной: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3 327 кВт</w:t>
      </w:r>
      <w:r>
        <w:rPr>
          <w:rFonts w:eastAsia="Times New Roman"/>
          <w:color w:val="000000"/>
          <w:sz w:val="26"/>
          <w:szCs w:val="26"/>
          <w:lang w:eastAsia="ru-RU"/>
        </w:rPr>
        <w:t>.</w:t>
      </w:r>
    </w:p>
    <w:p>
      <w:pPr>
        <w:pStyle w:val="ListParagraph"/>
        <w:widowControl w:val="false"/>
        <w:ind w:left="709" w:hanging="142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3 327 кВт в том числе;</w:t>
      </w:r>
    </w:p>
    <w:p>
      <w:pPr>
        <w:pStyle w:val="ListParagraph"/>
        <w:widowControl w:val="false"/>
        <w:ind w:left="709" w:hanging="142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Здание фуд-корта с трибуной-571,7 кВт;</w:t>
      </w:r>
    </w:p>
    <w:p>
      <w:pPr>
        <w:pStyle w:val="ListParagraph"/>
        <w:widowControl w:val="false"/>
        <w:ind w:left="709" w:hanging="142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Кафе-оранжерея-93,6 кВт;</w:t>
      </w:r>
    </w:p>
    <w:p>
      <w:pPr>
        <w:pStyle w:val="ListParagraph"/>
        <w:widowControl w:val="false"/>
        <w:ind w:left="709" w:hanging="142"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Двухуровневая парковка открытого типа — 60 кВт;</w:t>
      </w:r>
    </w:p>
    <w:p>
      <w:pPr>
        <w:pStyle w:val="ListParagraph"/>
        <w:widowControl w:val="false"/>
        <w:spacing w:lineRule="auto" w:line="240" w:before="0" w:after="0"/>
        <w:ind w:left="709" w:hanging="142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Нестационарные некапитальные объекты и освещение парка -2 601,7 кВт;</w:t>
      </w:r>
    </w:p>
    <w:p>
      <w:pPr>
        <w:pStyle w:val="ListParagraph"/>
        <w:widowControl w:val="false"/>
        <w:spacing w:lineRule="auto" w:line="240" w:before="0" w:after="0"/>
        <w:ind w:left="0" w:firstLine="567"/>
        <w:contextualSpacing/>
        <w:jc w:val="both"/>
        <w:rPr>
          <w:rFonts w:eastAsia="Times New Roman"/>
          <w:color w:val="000000"/>
          <w:sz w:val="26"/>
          <w:szCs w:val="26"/>
          <w:lang w:eastAsia="ru-RU"/>
        </w:rPr>
      </w:pPr>
      <w:r>
        <w:rPr>
          <w:rFonts w:eastAsia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Точки присоединение и распределение мощности по каждой точке присоединения:</w:t>
      </w:r>
      <w:r>
        <w:rPr>
          <w:color w:val="000000"/>
          <w:sz w:val="26"/>
          <w:szCs w:val="26"/>
        </w:rPr>
        <w:t xml:space="preserve"> </w:t>
      </w:r>
    </w:p>
    <w:p>
      <w:pPr>
        <w:pStyle w:val="Normal"/>
        <w:widowControl w:val="false"/>
        <w:ind w:firstLine="567"/>
        <w:jc w:val="both"/>
        <w:rPr/>
      </w:pPr>
      <w:r>
        <w:rPr>
          <w:color w:val="000000"/>
          <w:sz w:val="26"/>
          <w:szCs w:val="26"/>
        </w:rPr>
        <w:t>2 точки присоединения к элементам электрической сети сетевой организации, расположенным на кабельных наконечниках ЛЭП 10 кВ строящихся до РУ 10 кВ проектируемого РП 10 кВ заявителя (парк Минный городок) с максимальной мощностью 1663,5 кВт.</w:t>
      </w:r>
    </w:p>
    <w:p>
      <w:pPr>
        <w:pStyle w:val="Normal"/>
        <w:widowControl w:val="false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Указанное выше распределение максимальной мощности по точкам присоединения является условным, фактическое распределение максимальной мощности может отличаться от указанного в зависимости от режима работы энергосистемы, но не должно превышать 3 327 кВт.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spacing w:before="0" w:after="0"/>
        <w:ind w:firstLine="567"/>
        <w:contextualSpacing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/>
      </w:pPr>
      <w:r>
        <w:rPr>
          <w:b/>
          <w:color w:val="000000"/>
          <w:sz w:val="26"/>
          <w:szCs w:val="26"/>
        </w:rPr>
        <w:t xml:space="preserve">Категория надежности: </w:t>
      </w:r>
      <w:r>
        <w:rPr>
          <w:color w:val="000000"/>
          <w:sz w:val="26"/>
          <w:szCs w:val="26"/>
        </w:rPr>
        <w:t>2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widowControl w:val="false"/>
        <w:ind w:firstLine="567"/>
        <w:jc w:val="both"/>
        <w:rPr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Класс напряжения электрических сетей, к которым осуществляется технологическое присоединение:</w:t>
      </w:r>
      <w:r>
        <w:rPr>
          <w:color w:val="000000"/>
          <w:sz w:val="26"/>
          <w:szCs w:val="26"/>
        </w:rPr>
        <w:t xml:space="preserve"> 10 кВ</w:t>
      </w:r>
      <w:r>
        <w:rPr>
          <w:bCs/>
          <w:color w:val="000000"/>
          <w:sz w:val="26"/>
          <w:szCs w:val="26"/>
        </w:rPr>
        <w:t>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Основной источник питания:</w:t>
      </w:r>
      <w:r>
        <w:rPr>
          <w:color w:val="000000"/>
          <w:sz w:val="26"/>
          <w:szCs w:val="26"/>
        </w:rPr>
        <w:t xml:space="preserve"> ПС 220/110/10 кВ Зеленый Угол</w:t>
      </w:r>
      <w:r>
        <w:rPr>
          <w:bCs/>
          <w:color w:val="000000"/>
          <w:sz w:val="26"/>
          <w:szCs w:val="26"/>
        </w:rPr>
        <w:t>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bCs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Резервный источник питания:</w:t>
      </w:r>
      <w:r>
        <w:rPr>
          <w:color w:val="000000"/>
          <w:sz w:val="26"/>
          <w:szCs w:val="26"/>
        </w:rPr>
        <w:t xml:space="preserve"> ПС </w:t>
      </w:r>
      <w:r>
        <w:rPr>
          <w:bCs/>
          <w:color w:val="000000"/>
          <w:sz w:val="26"/>
          <w:szCs w:val="26"/>
        </w:rPr>
        <w:t>220/110/10 кВ Зеленый Угол.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ind w:firstLine="567"/>
        <w:jc w:val="both"/>
        <w:rPr/>
      </w:pPr>
      <w:r>
        <w:rPr>
          <w:b/>
          <w:color w:val="000000"/>
          <w:sz w:val="26"/>
          <w:szCs w:val="26"/>
        </w:rPr>
        <w:t>Граница балансовой принадлежности и эксплуатационной ответственности:</w:t>
      </w:r>
      <w:r>
        <w:rPr>
          <w:color w:val="000000"/>
          <w:sz w:val="26"/>
          <w:szCs w:val="26"/>
        </w:rPr>
        <w:t xml:space="preserve"> Элементы электрической сети сетевой организации, расположенным на кабельных наконечниках ЛЭП 10 кВ строящихся до РУ 10 кВ проектируемого РП 10 кВ заявителя (парк Минный городок).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319" w:leader="none"/>
        </w:tabs>
        <w:spacing w:lineRule="auto" w:line="240" w:before="240" w:after="120"/>
        <w:ind w:left="0" w:hanging="0"/>
        <w:contextualSpacing/>
        <w:jc w:val="center"/>
        <w:rPr/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МЕРОПРИЯТИЯ ПО ОСНОВНОМУ (ПЕРВИЧНОМУ) ЭЛЕКТРОТЕХНИЧЕСКОМУ ОБОРУДОВАНИЮ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Выполнить в сроки, устанавливаемые Договором об осуществлении технологического присоединения, но не позднее окончания срока действия настоящих Технических условий (пояснительная схема прилагается):</w:t>
      </w:r>
    </w:p>
    <w:p>
      <w:pPr>
        <w:pStyle w:val="Normal"/>
        <w:widowControl w:val="false"/>
        <w:tabs>
          <w:tab w:val="clear" w:pos="708"/>
          <w:tab w:val="left" w:pos="-3240" w:leader="none"/>
        </w:tabs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numPr>
          <w:ilvl w:val="1"/>
          <w:numId w:val="3"/>
        </w:numPr>
        <w:spacing w:before="0" w:after="0"/>
        <w:ind w:left="0" w:hanging="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объектах Заявителя: </w:t>
      </w:r>
    </w:p>
    <w:p>
      <w:pPr>
        <w:pStyle w:val="ListParagraph"/>
        <w:numPr>
          <w:ilvl w:val="2"/>
          <w:numId w:val="4"/>
        </w:numPr>
        <w:spacing w:lineRule="auto" w:line="24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sz w:val="26"/>
          <w:szCs w:val="26"/>
        </w:rPr>
        <w:t>Разработку схем электроснабжения объекта с учетом требований ПУЭ и других нормативно-технических документов.</w:t>
      </w:r>
    </w:p>
    <w:p>
      <w:pPr>
        <w:pStyle w:val="ListParagraph"/>
        <w:numPr>
          <w:ilvl w:val="2"/>
          <w:numId w:val="4"/>
        </w:numPr>
        <w:spacing w:lineRule="auto" w:line="240"/>
        <w:ind w:left="0"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Строительство РП 10 кВ </w:t>
      </w:r>
      <w:r>
        <w:rPr>
          <w:rFonts w:cs="Times New Roman" w:ascii="Times New Roman" w:hAnsi="Times New Roman"/>
          <w:color w:val="000000"/>
          <w:sz w:val="26"/>
          <w:szCs w:val="26"/>
        </w:rPr>
        <w:t>(парк Минный городок)</w:t>
      </w:r>
      <w:r>
        <w:rPr>
          <w:rFonts w:cs="Times New Roman" w:ascii="Times New Roman" w:hAnsi="Times New Roman"/>
          <w:color w:val="C9211E"/>
          <w:sz w:val="26"/>
          <w:szCs w:val="26"/>
          <w:shd w:fill="FFFFFF" w:val="clear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 xml:space="preserve">(тип, количество и параметры уточнить при проектировании). </w:t>
      </w:r>
    </w:p>
    <w:p>
      <w:pPr>
        <w:pStyle w:val="ListParagraph"/>
        <w:numPr>
          <w:ilvl w:val="2"/>
          <w:numId w:val="4"/>
        </w:numPr>
        <w:spacing w:lineRule="auto" w:line="240"/>
        <w:ind w:lef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Строительство, при необходимости, ТП 10/0,4 </w:t>
      </w:r>
      <w:r>
        <w:rPr>
          <w:rFonts w:cs="Times New Roman" w:ascii="Times New Roman" w:hAnsi="Times New Roman"/>
          <w:sz w:val="26"/>
          <w:szCs w:val="26"/>
        </w:rPr>
        <w:t xml:space="preserve">(тип, мощность, количество и параметры уточнить при проектировании). </w:t>
      </w:r>
    </w:p>
    <w:p>
      <w:pPr>
        <w:pStyle w:val="Normal"/>
        <w:numPr>
          <w:ilvl w:val="1"/>
          <w:numId w:val="3"/>
        </w:numPr>
        <w:spacing w:before="0" w:after="0"/>
        <w:ind w:left="0" w:hanging="0"/>
        <w:contextualSpacing/>
        <w:jc w:val="both"/>
        <w:rPr/>
      </w:pPr>
      <w:r>
        <w:rPr>
          <w:b/>
          <w:bCs/>
          <w:sz w:val="26"/>
          <w:szCs w:val="26"/>
        </w:rPr>
        <w:t>На объектах Сетевой организации:</w:t>
      </w:r>
    </w:p>
    <w:p>
      <w:pPr>
        <w:pStyle w:val="ListParagraph"/>
        <w:numPr>
          <w:ilvl w:val="2"/>
          <w:numId w:val="3"/>
        </w:numPr>
        <w:shd w:val="clear" w:color="auto" w:fill="FFFFFF"/>
        <w:spacing w:lineRule="auto" w:line="24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Cs/>
          <w:sz w:val="26"/>
          <w:szCs w:val="26"/>
        </w:rPr>
        <w:t>Строительство двух ЛЭП 10 кВ в кабельном исполнении от линейных ячеек 10 кВ №1 и №31 ПС 220/110/10 кВ Зеленый Угол до проектируемой РП 10 кВ кабелем с сечением жил не менее 480 мм</w:t>
      </w:r>
      <w:r>
        <w:rPr>
          <w:rFonts w:cs="Times New Roman" w:ascii="Times New Roman" w:hAnsi="Times New Roman"/>
          <w:bCs/>
          <w:sz w:val="26"/>
          <w:szCs w:val="26"/>
          <w:vertAlign w:val="superscript"/>
        </w:rPr>
        <w:t>2</w:t>
      </w:r>
      <w:r>
        <w:rPr>
          <w:rFonts w:cs="Times New Roman" w:ascii="Times New Roman" w:hAnsi="Times New Roman"/>
          <w:bCs/>
          <w:sz w:val="26"/>
          <w:szCs w:val="26"/>
        </w:rPr>
        <w:t xml:space="preserve"> длиной 1050 м (каждая КЛ 10 кВ).</w:t>
      </w:r>
    </w:p>
    <w:p>
      <w:pPr>
        <w:pStyle w:val="ListParagraph"/>
        <w:numPr>
          <w:ilvl w:val="2"/>
          <w:numId w:val="3"/>
        </w:numPr>
        <w:spacing w:lineRule="auto" w:line="24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Cs/>
          <w:sz w:val="26"/>
          <w:szCs w:val="26"/>
        </w:rPr>
        <w:t xml:space="preserve">Строительство РП 10 кВ с подключением к строящимся фидерам 10 кВ №1 и №31 ПС 220/110/10 кВ Зеленый Угол (тип РП 10 кВ, количество и параметры ячеек 10 кВ определить при проектировании). </w:t>
      </w:r>
    </w:p>
    <w:p>
      <w:pPr>
        <w:pStyle w:val="ListParagraph"/>
        <w:numPr>
          <w:ilvl w:val="2"/>
          <w:numId w:val="3"/>
        </w:numPr>
        <w:tabs>
          <w:tab w:val="clear" w:pos="708"/>
          <w:tab w:val="left" w:pos="1310" w:leader="none"/>
        </w:tabs>
        <w:spacing w:lineRule="auto" w:line="240"/>
        <w:ind w:left="0" w:hanging="0"/>
        <w:jc w:val="both"/>
        <w:rPr>
          <w:rFonts w:ascii="Times New Roman" w:hAnsi="Times New Roman"/>
        </w:rPr>
      </w:pPr>
      <w:r>
        <w:rPr>
          <w:rFonts w:cs="Times New Roman" w:ascii="Times New Roman" w:hAnsi="Times New Roman"/>
          <w:bCs/>
          <w:sz w:val="26"/>
          <w:szCs w:val="26"/>
        </w:rPr>
        <w:t>Строительство двух ЛЭП 10 кВ в кабельном исполнении (методом горизонтально направленного бурения)  от линейных ячеек проектируемго РП 10 кВ до вводных ячеек проектируемой РП 10 кВ заявителя протяжённостью не менее 3100 м каждая с сечением жил не менее 240 мм</w:t>
      </w:r>
      <w:r>
        <w:rPr>
          <w:rFonts w:cs="Times New Roman" w:ascii="Times New Roman" w:hAnsi="Times New Roman"/>
          <w:bCs/>
          <w:sz w:val="26"/>
          <w:szCs w:val="26"/>
          <w:vertAlign w:val="superscript"/>
        </w:rPr>
        <w:t>2</w:t>
      </w:r>
      <w:r>
        <w:rPr>
          <w:rFonts w:cs="Times New Roman" w:ascii="Times New Roman" w:hAnsi="Times New Roman"/>
          <w:bCs/>
          <w:sz w:val="26"/>
          <w:szCs w:val="26"/>
        </w:rPr>
        <w:t xml:space="preserve"> (тип кабеля, сечение жил и длину трассы определить проектом).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319" w:leader="none"/>
        </w:tabs>
        <w:spacing w:lineRule="auto" w:line="240" w:before="240" w:after="120"/>
        <w:ind w:left="0" w:hanging="0"/>
        <w:contextualSpacing/>
        <w:jc w:val="center"/>
        <w:rPr/>
      </w:pPr>
      <w:r>
        <w:rPr>
          <w:rFonts w:cs="Times New Roman" w:ascii="Times New Roman" w:hAnsi="Times New Roman"/>
          <w:b/>
          <w:color w:val="000000"/>
          <w:sz w:val="26"/>
          <w:szCs w:val="26"/>
        </w:rPr>
        <w:t>МЕРОПРИЯТИЯ ПО ОБОРУДОВАНИЮ СИСТЕМ ТЕХНОЛОГИЧЕСКОГО УПРАВЛЕНИЯ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  <w:tab w:val="left" w:pos="1176" w:leader="none"/>
        </w:tabs>
        <w:spacing w:lineRule="auto" w:line="240" w:before="0" w:after="0"/>
        <w:ind w:left="42"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color w:val="000000"/>
          <w:sz w:val="26"/>
          <w:szCs w:val="26"/>
          <w:lang w:eastAsia="ru-RU"/>
        </w:rPr>
        <w:t>Расчет уставок релейной защиты в линейных ячейках 10 кВ №1 и №31 ПС220/110/10 кВ Зеленый Угол.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  <w:tab w:val="left" w:pos="1176" w:leader="none"/>
        </w:tabs>
        <w:spacing w:lineRule="auto" w:line="240" w:before="0" w:after="0"/>
        <w:ind w:left="42"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color w:val="000000"/>
          <w:sz w:val="26"/>
          <w:szCs w:val="26"/>
          <w:lang w:eastAsia="ru-RU"/>
        </w:rPr>
        <w:t>Выполнить учет электроэнергии в соответствии с Типовой инструкцией по учету электроэнергии при ее производстве, передаче и распределении (СО 153-34.09.101-94), требованиями правил организации учета электрической энергии на оптовом и розничных рынках, установленных Федеральным законом от 26.03.2003 № 35-ФЗ «Об электроэнергетике», Основными положениями функционирования розничных рынков электрической энергии, утвержденными Постановлением Правительства РФ от 04.05.2012 № 442.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0"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В случае установки на территории заявителя объектов по производству электрической энергии, оснастить данные объекты устройствами, исключающими выдачу мощности в электрическую сеть Сетевой организации.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319" w:leader="none"/>
        </w:tabs>
        <w:spacing w:lineRule="auto" w:line="240" w:before="240" w:after="120"/>
        <w:ind w:left="0" w:hanging="0"/>
        <w:contextualSpacing/>
        <w:jc w:val="center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ТРЕБОВАНИЯ К ЭНЕРГОПРИНИМАЮЩИМ УСТРОЙСТВАМ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6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Схему электроснабжения присоединяемых объектов предусмотреть с учетом подключения нагрузки Заявителя под действие устройств противоаварийной автоматики в полном объеме.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6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cs="Times New Roman" w:ascii="Times New Roman" w:hAnsi="Times New Roman"/>
          <w:color w:val="000000"/>
          <w:sz w:val="26"/>
          <w:szCs w:val="26"/>
        </w:rPr>
        <w:t>Схему электроснабжения потребителей 2 категории надежности электроснабжения выполнить в соответствии с ПУЭ (обеспечить обязательное наличие основного и резервного питания).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667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В случае выявления, при проектировании согласно пункту 4.1 настоящих технических условий, возможности нарушения соотношения потребления активной и реактивной мощности: нарушение критерия tg φ ≤ 0,4 в точках присоединения к электрическим сетям Сетевой организации эзнергопринимающих устройств Заявителя, в целях поддержания соотношения потребления активной и реактивной мощности оснастить объекты электросетевого хозяйства Заявителя, указанные в разделе 1 настоящих Технических условий, средствами компенсации реактивной мощности и автоматикой регулирования напряжения и поддержания соотношений потребления активной и реактивной мощности.</w:t>
      </w:r>
    </w:p>
    <w:p>
      <w:pPr>
        <w:pStyle w:val="Normal"/>
        <w:widowControl w:val="false"/>
        <w:tabs>
          <w:tab w:val="clear" w:pos="708"/>
          <w:tab w:val="left" w:pos="900" w:leader="none"/>
        </w:tabs>
        <w:ind w:left="42" w:firstLine="6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 проведении расчетов, определяющих необходимость оснащения объекта электросетевого хозяйства Заявителя средствами компенсации реактивной мощности и автоматикой регулирования напряжения, и при проектировании согласно пункту 4.1 настоящих Технических условий нормально допускаемые и предельно допускаемые значения отклонения на вводах приемников электрической энергии принять соответственно ±5% и ±10% от номинального напряжения электрической сети.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667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При наличии непрерывных технологических процессов, нарушение которых связано с высокими материальными затратами, оснастить электрические сети Заявителя средствами, обеспечивающими нечувствительность систем управления непрерывным технологическим процессом к провалам напряжения в соответствии с ГОСТ </w:t>
      </w:r>
      <w:r>
        <w:rPr>
          <w:rFonts w:cs="Times New Roman" w:ascii="Times New Roman" w:hAnsi="Times New Roman"/>
          <w:sz w:val="26"/>
          <w:szCs w:val="26"/>
        </w:rPr>
        <w:t>32144-2013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319" w:leader="none"/>
        </w:tabs>
        <w:spacing w:lineRule="auto" w:line="240" w:before="240" w:after="120"/>
        <w:ind w:left="0" w:hanging="360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color w:val="000000"/>
          <w:sz w:val="26"/>
          <w:szCs w:val="26"/>
          <w:lang w:eastAsia="ru-RU"/>
        </w:rPr>
        <w:t>ПОРЯДОК ВЫПОЛНЕНИЯ МЕРОПРИЯТИЙ ПО ТЕХНОЛОГИЧЕСКОМУ ПРИСОЕДИНЕНИЮ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Заявитель выполняет мероприятия, указанные в пунктах 1.1, 2.2 и 2.3 с учетом требований раздела 3 настоящих Технических условий, включая разработку проектной и рабочей документации. Мероприятия </w:t>
      </w:r>
      <w:r>
        <w:rPr>
          <w:rFonts w:ascii="Times New Roman" w:hAnsi="Times New Roman"/>
          <w:color w:val="000000"/>
          <w:sz w:val="26"/>
          <w:szCs w:val="26"/>
        </w:rPr>
        <w:t>указанные в пункте 2.2 выполняются заявителем в части обеспечения возможности установки приборов учета электрической энергии: монтаж трансформаторов напряжения, монтаж трансформаторов тока, прокладка вторичных цепей до места размещения приборов учета и допуск в РП 10 кВ заявителя (парк Минный городок) персонала сетевой организации для установки приборов учета электрической энергии.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0" w:firstLine="6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Заявитель обязан представить Сетевой организации копии разделов проектной документации, предусматривающих реализацию технических решений, обеспечивающих выполнение настоящих технических условий.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76" w:leader="none"/>
        </w:tabs>
        <w:spacing w:lineRule="auto" w:line="240" w:before="0" w:after="0"/>
        <w:ind w:left="42" w:firstLine="567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Сетевая организация выполняет мероприятия, указанные в пунктах 1.2 и 2.2 (в части установки приборов учета электрической энергии) настоящих Технических условий, </w:t>
      </w:r>
      <w:r>
        <w:rPr>
          <w:rFonts w:ascii="Times New Roman" w:hAnsi="Times New Roman"/>
          <w:color w:val="000000"/>
          <w:sz w:val="26"/>
          <w:szCs w:val="26"/>
        </w:rPr>
        <w:t>включая разработку проектной и рабочей документации.</w:t>
      </w:r>
    </w:p>
    <w:p>
      <w:pPr>
        <w:pStyle w:val="Normal"/>
        <w:ind w:firstLine="567"/>
        <w:jc w:val="both"/>
        <w:rPr/>
      </w:pPr>
      <w:r>
        <w:rPr>
          <w:color w:val="000000"/>
          <w:sz w:val="26"/>
          <w:szCs w:val="26"/>
        </w:rPr>
        <w:t>4.3. При необходимости выполнения работ по модернизации (замене) систем технологического управления на объектах третьих лиц, урегулирование отношений с третьими лицами по выполнению работ на принадлежащих им объектах осуществляет Сетевая организация.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42" w:hanging="0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6"/>
          <w:szCs w:val="26"/>
        </w:rPr>
        <w:t xml:space="preserve">    </w:t>
      </w:r>
      <w:r>
        <w:rPr>
          <w:rFonts w:cs="Times New Roman" w:ascii="Times New Roman" w:hAnsi="Times New Roman"/>
          <w:color w:val="000000"/>
          <w:sz w:val="26"/>
          <w:szCs w:val="26"/>
        </w:rPr>
        <w:t>Если в ходе проектирования возникает необходимость частичного отступления от настоящих Технических условий, такие отступления подлежат согласованию с Сетевой организацией (путем внесения изменений в настоящие Технические условия).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0" w:hanging="0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6"/>
          <w:szCs w:val="26"/>
        </w:rPr>
        <w:t xml:space="preserve">   </w:t>
      </w:r>
      <w:r>
        <w:rPr>
          <w:rFonts w:cs="Times New Roman" w:ascii="Times New Roman" w:hAnsi="Times New Roman"/>
          <w:color w:val="000000"/>
          <w:sz w:val="26"/>
          <w:szCs w:val="26"/>
        </w:rPr>
        <w:t xml:space="preserve">4.4. Провести проверку выполнения настоящих Технических условий, включая проведение осмотра (обследования) электроустановок, с участием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представителей Сетевой организации</w:t>
      </w:r>
      <w:r>
        <w:rPr>
          <w:rFonts w:cs="Times New Roman" w:ascii="Times New Roman" w:hAnsi="Times New Roman"/>
          <w:color w:val="000000"/>
          <w:sz w:val="26"/>
          <w:szCs w:val="26"/>
        </w:rPr>
        <w:t>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567" w:hanging="0"/>
        <w:contextualSpacing/>
        <w:jc w:val="both"/>
        <w:rPr/>
      </w:pPr>
      <w:r>
        <w:rPr>
          <w:rFonts w:cs="Times New Roman" w:ascii="Times New Roman" w:hAnsi="Times New Roman"/>
          <w:color w:val="000000"/>
          <w:sz w:val="26"/>
          <w:szCs w:val="26"/>
        </w:rPr>
        <w:t xml:space="preserve">4.5. Получить от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Сетевой организации</w:t>
      </w:r>
      <w:r>
        <w:rPr>
          <w:rFonts w:cs="Times New Roman" w:ascii="Times New Roman" w:hAnsi="Times New Roman"/>
          <w:color w:val="000000"/>
          <w:sz w:val="26"/>
          <w:szCs w:val="26"/>
        </w:rPr>
        <w:t xml:space="preserve"> акт о выполнении технических условий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0" w:hanging="0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4.6. Получить разрешение </w:t>
      </w:r>
      <w:r>
        <w:rPr>
          <w:rFonts w:cs="Times New Roman" w:ascii="Times New Roman" w:hAnsi="Times New Roman"/>
          <w:color w:val="000000"/>
          <w:sz w:val="26"/>
          <w:szCs w:val="26"/>
        </w:rPr>
        <w:t>федерального органа исполнительной власти, осуществляющего федеральный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 xml:space="preserve"> государственный энергетический надзор,</w:t>
      </w:r>
      <w:r>
        <w:rPr>
          <w:rFonts w:cs="Times New Roman" w:ascii="Times New Roman" w:hAnsi="Times New Roman"/>
          <w:color w:val="000000"/>
          <w:sz w:val="26"/>
          <w:szCs w:val="26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  <w:t>на допуск в эксплуатацию объектов электросетевого хозяйства Заявителя и объектов электросетевого хозяйства Сетевой организации, указанных в пунктах 1.1. и 1.2. настоящих Технических условий.</w:t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0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609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609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ListParagraph"/>
        <w:widowControl w:val="false"/>
        <w:tabs>
          <w:tab w:val="clear" w:pos="708"/>
          <w:tab w:val="left" w:pos="1176" w:leader="none"/>
        </w:tabs>
        <w:spacing w:lineRule="auto" w:line="240" w:before="0" w:after="0"/>
        <w:ind w:left="609" w:hanging="0"/>
        <w:contextualSpacing/>
        <w:jc w:val="both"/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6"/>
          <w:szCs w:val="26"/>
          <w:lang w:eastAsia="ru-RU"/>
        </w:rPr>
      </w:r>
    </w:p>
    <w:p>
      <w:pPr>
        <w:pStyle w:val="Normal"/>
        <w:widowControl w:val="false"/>
        <w:tabs>
          <w:tab w:val="clear" w:pos="708"/>
          <w:tab w:val="left" w:pos="-3240" w:leader="none"/>
        </w:tabs>
        <w:spacing w:lineRule="auto" w:line="228"/>
        <w:ind w:left="2268" w:hanging="170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Приложение:</w:t>
        <w:tab/>
        <w:t>Пояснительная схема присоединения энергопринимающих устройств Заявителя к электрическим сетям на 1 л. в 1 экз.</w:t>
      </w:r>
    </w:p>
    <w:p>
      <w:pPr>
        <w:pStyle w:val="Normal"/>
        <w:widowControl w:val="false"/>
        <w:shd w:val="clear" w:color="auto" w:fill="FFFFFF"/>
        <w:spacing w:lineRule="auto" w:line="22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shd w:val="clear" w:color="auto" w:fill="FFFFFF"/>
        <w:spacing w:lineRule="auto" w:line="22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sectPr>
          <w:headerReference w:type="default" r:id="rId2"/>
          <w:type w:val="nextPage"/>
          <w:pgSz w:w="11906" w:h="16838"/>
          <w:pgMar w:left="992" w:right="709" w:gutter="0" w:header="709" w:top="1134" w:footer="0" w:bottom="993"/>
          <w:pgNumType w:fmt="decimal"/>
          <w:formProt w:val="false"/>
          <w:titlePg/>
          <w:textDirection w:val="lrTb"/>
          <w:docGrid w:type="default" w:linePitch="360" w:charSpace="4294960946"/>
        </w:sectPr>
        <w:pStyle w:val="Normal"/>
        <w:widowControl w:val="false"/>
        <w:shd w:val="clear" w:color="auto" w:fill="FFFFFF"/>
        <w:spacing w:lineRule="auto" w:line="22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Пояснительная схема присоединения энергопринимающих устройств Заявителя к электрическим сетям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5526405" cy="494538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4945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sectPr>
      <w:headerReference w:type="default" r:id="rId4"/>
      <w:headerReference w:type="first" r:id="rId5"/>
      <w:footerReference w:type="default" r:id="rId6"/>
      <w:type w:val="nextPage"/>
      <w:pgSz w:w="11906" w:h="16838"/>
      <w:pgMar w:left="1134" w:right="850" w:gutter="0" w:header="708" w:top="1134" w:footer="708" w:bottom="1134"/>
      <w:pgNumType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 Narrow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Wingding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5131" w:leader="none"/>
      </w:tabs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Исп. Тыщук А.Д.  </w:t>
    </w:r>
  </w:p>
  <w:p>
    <w:pPr>
      <w:pStyle w:val="Normal"/>
      <w:tabs>
        <w:tab w:val="clear" w:pos="708"/>
        <w:tab w:val="center" w:pos="5131" w:leader="none"/>
      </w:tabs>
      <w:rPr>
        <w:color w:val="000000"/>
        <w:sz w:val="16"/>
        <w:szCs w:val="16"/>
      </w:rPr>
    </w:pPr>
    <w:r>
      <w:rPr>
        <w:rFonts w:eastAsia="Wingdings" w:cs="Wingdings" w:ascii="Wingdings" w:hAnsi="Wingdings"/>
        <w:color w:val="000000"/>
        <w:sz w:val="16"/>
        <w:szCs w:val="16"/>
      </w:rPr>
      <w:t></w:t>
    </w:r>
    <w:r>
      <w:rPr>
        <w:color w:val="000000"/>
        <w:sz w:val="16"/>
        <w:szCs w:val="16"/>
      </w:rPr>
      <w:t xml:space="preserve"> </w:t>
    </w:r>
    <w:r>
      <w:rPr>
        <w:color w:val="000000"/>
        <w:sz w:val="16"/>
        <w:szCs w:val="16"/>
      </w:rPr>
      <w:t>8 (423) 22-11-317</w:t>
    </w:r>
  </w:p>
  <w:p>
    <w:pPr>
      <w:pStyle w:val="Normal"/>
      <w:tabs>
        <w:tab w:val="clear" w:pos="708"/>
        <w:tab w:val="center" w:pos="5131" w:leader="none"/>
      </w:tabs>
      <w:rPr>
        <w:color w:val="000000"/>
        <w:sz w:val="16"/>
        <w:szCs w:val="16"/>
      </w:rPr>
    </w:pPr>
    <w:r>
      <w:rPr>
        <w:color w:val="000000"/>
        <w:sz w:val="16"/>
        <w:szCs w:val="16"/>
        <w:lang w:val="en-US"/>
      </w:rPr>
      <w:t>Tyschuk</w:t>
    </w:r>
    <w:r>
      <w:rPr>
        <w:color w:val="000000"/>
        <w:sz w:val="16"/>
        <w:szCs w:val="16"/>
      </w:rPr>
      <w:t>-</w:t>
    </w:r>
    <w:r>
      <w:rPr>
        <w:color w:val="000000"/>
        <w:sz w:val="16"/>
        <w:szCs w:val="16"/>
        <w:lang w:val="en-US"/>
      </w:rPr>
      <w:t>ad</w:t>
    </w:r>
    <w:r>
      <w:rPr>
        <w:color w:val="000000"/>
        <w:sz w:val="16"/>
        <w:szCs w:val="16"/>
      </w:rPr>
      <w:t xml:space="preserve">@ </w:t>
    </w:r>
    <w:r>
      <w:rPr>
        <w:color w:val="000000"/>
        <w:sz w:val="16"/>
        <w:szCs w:val="16"/>
        <w:lang w:val="en-US"/>
      </w:rPr>
      <w:t>prim</w:t>
    </w:r>
    <w:r>
      <w:rPr>
        <w:color w:val="000000"/>
        <w:sz w:val="16"/>
        <w:szCs w:val="16"/>
      </w:rPr>
      <w:t>.</w:t>
    </w:r>
    <w:r>
      <w:rPr>
        <w:color w:val="000000"/>
        <w:sz w:val="16"/>
        <w:szCs w:val="16"/>
        <w:lang w:val="en-US"/>
      </w:rPr>
      <w:t>drsk</w:t>
    </w:r>
    <w:r>
      <w:rPr>
        <w:color w:val="000000"/>
        <w:sz w:val="16"/>
        <w:szCs w:val="16"/>
      </w:rPr>
      <w:t>.</w:t>
    </w:r>
    <w:r>
      <w:rPr>
        <w:color w:val="000000"/>
        <w:sz w:val="16"/>
        <w:szCs w:val="16"/>
        <w:lang w:val="en-US"/>
      </w:rPr>
      <w:t>ru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6944569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904370238"/>
    </w:sdtPr>
    <w:sdtContent>
      <w:p>
        <w:pPr>
          <w:pStyle w:val="Head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0</w:t>
        </w:r>
        <w:r>
          <w:rPr/>
          <w:fldChar w:fldCharType="end"/>
        </w:r>
      </w:p>
      <w:p>
        <w:pPr>
          <w:pStyle w:val="Header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211" w:hanging="360"/>
      </w:pPr>
      <w:rPr>
        <w:sz w:val="26"/>
        <w:b/>
        <w:rFonts w:ascii="Times New Roman" w:hAnsi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379" w:hanging="432"/>
      </w:pPr>
      <w:rPr>
        <w:sz w:val="26"/>
        <w:b w:val="false"/>
        <w:rFonts w:ascii="Times New Roman" w:hAnsi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  <w:rPr>
        <w:b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287" w:hanging="720"/>
      </w:pPr>
      <w:rPr>
        <w:sz w:val="26"/>
        <w:b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720" w:hanging="720"/>
      </w:pPr>
      <w:rPr>
        <w:sz w:val="26"/>
        <w:b w:val="false"/>
        <w:szCs w:val="26"/>
        <w:bCs w:val="false"/>
        <w:rFonts w:ascii="Times New Roman" w:hAnsi="Times New Roman" w:cs="Times New Roman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364" w:hanging="1080"/>
      </w:pPr>
      <w:rPr>
        <w:b w:val="fals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b/>
      </w:rPr>
    </w:lvl>
  </w:abstractNum>
  <w:abstractNum w:abstractNumId="4">
    <w:lvl w:ilvl="0">
      <w:start w:val="1"/>
      <w:numFmt w:val="decimal"/>
      <w:lvlText w:val="%1"/>
      <w:lvlJc w:val="left"/>
      <w:pPr>
        <w:tabs>
          <w:tab w:val="num" w:pos="0"/>
        </w:tabs>
        <w:ind w:left="525" w:hanging="52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808" w:hanging="52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69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5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3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1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64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3"/>
  <w:embedSystemFonts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bCs/>
      <w:sz w:val="1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rPr>
      <w:color w:val="0000FF"/>
      <w:u w:val="single"/>
    </w:rPr>
  </w:style>
  <w:style w:type="character" w:styleId="Style8" w:customStyle="1">
    <w:name w:val="Нижний колонтитул Знак"/>
    <w:qFormat/>
    <w:rsid w:val="005b3b56"/>
    <w:rPr>
      <w:sz w:val="24"/>
      <w:szCs w:val="24"/>
    </w:rPr>
  </w:style>
  <w:style w:type="character" w:styleId="Style9" w:customStyle="1">
    <w:name w:val="Верхний колонтитул Знак"/>
    <w:uiPriority w:val="99"/>
    <w:qFormat/>
    <w:rsid w:val="00cf4d14"/>
    <w:rPr/>
  </w:style>
  <w:style w:type="character" w:styleId="ConsPlusNonformat" w:customStyle="1">
    <w:name w:val="ConsPlusNonformat Знак"/>
    <w:link w:val="ConsPlusNonformat1"/>
    <w:qFormat/>
    <w:locked/>
    <w:rsid w:val="003b3dac"/>
    <w:rPr>
      <w:rFonts w:ascii="Courier New" w:hAnsi="Courier New" w:cs="Courier New"/>
    </w:rPr>
  </w:style>
  <w:style w:type="character" w:styleId="FontStyle15" w:customStyle="1">
    <w:name w:val="Font Style15"/>
    <w:qFormat/>
    <w:rsid w:val="003b3dac"/>
    <w:rPr>
      <w:rFonts w:ascii="Arial Narrow" w:hAnsi="Arial Narrow" w:cs="Arial Narrow"/>
      <w:sz w:val="22"/>
      <w:szCs w:val="22"/>
    </w:rPr>
  </w:style>
  <w:style w:type="character" w:styleId="Style10" w:customStyle="1">
    <w:name w:val="Абзац списка Знак"/>
    <w:link w:val="ListParagraph"/>
    <w:uiPriority w:val="34"/>
    <w:qFormat/>
    <w:locked/>
    <w:rsid w:val="0085438d"/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Annotationreference">
    <w:name w:val="annotation reference"/>
    <w:basedOn w:val="DefaultParagraphFont"/>
    <w:semiHidden/>
    <w:unhideWhenUsed/>
    <w:qFormat/>
    <w:rsid w:val="00ea76ef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semiHidden/>
    <w:qFormat/>
    <w:rsid w:val="00ea76ef"/>
    <w:rPr>
      <w:color w:val="00000A"/>
    </w:rPr>
  </w:style>
  <w:style w:type="character" w:styleId="Style12" w:customStyle="1">
    <w:name w:val="Тема примечания Знак"/>
    <w:basedOn w:val="Style11"/>
    <w:link w:val="Annotationsubject"/>
    <w:semiHidden/>
    <w:qFormat/>
    <w:rsid w:val="00ea76ef"/>
    <w:rPr>
      <w:b/>
      <w:bCs/>
      <w:color w:val="00000A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b/>
      <w:bCs/>
      <w:sz w:val="16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15" w:customStyle="1">
    <w:name w:val="Колонтитул"/>
    <w:basedOn w:val="Normal"/>
    <w:qFormat/>
    <w:pPr/>
    <w:rPr/>
  </w:style>
  <w:style w:type="paragraph" w:styleId="Header">
    <w:name w:val="Header"/>
    <w:basedOn w:val="Normal"/>
    <w:uiPriority w:val="99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BodyTextIndent">
    <w:name w:val="Body Text Indent"/>
    <w:basedOn w:val="Normal"/>
    <w:rsid w:val="00bc0df2"/>
    <w:pPr>
      <w:spacing w:before="0" w:after="120"/>
      <w:ind w:left="283" w:hanging="0"/>
    </w:pPr>
    <w:rPr/>
  </w:style>
  <w:style w:type="paragraph" w:styleId="Style16" w:customStyle="1">
    <w:name w:val="Знак"/>
    <w:basedOn w:val="Normal"/>
    <w:qFormat/>
    <w:rsid w:val="007f629e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ConsPlusNormal" w:customStyle="1">
    <w:name w:val="ConsPlusNormal"/>
    <w:qFormat/>
    <w:rsid w:val="009169a1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00000A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semiHidden/>
    <w:qFormat/>
    <w:rsid w:val="004e5f5a"/>
    <w:pPr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5b3b56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ConsPlusNonformat1" w:customStyle="1">
    <w:name w:val="ConsPlusNonformat"/>
    <w:link w:val="ConsPlusNonformat"/>
    <w:qFormat/>
    <w:rsid w:val="003b3dac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cs="Courier New" w:eastAsia="Times New Roman"/>
      <w:color w:val="00000A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link w:val="Style10"/>
    <w:uiPriority w:val="34"/>
    <w:qFormat/>
    <w:rsid w:val="009d7260"/>
    <w:pPr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paragraph" w:styleId="DocumentMap" w:customStyle="1">
    <w:name w:val="Document Map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qFormat/>
    <w:pPr>
      <w:spacing w:lineRule="auto" w:line="288" w:beforeAutospacing="1" w:after="142"/>
    </w:pPr>
    <w:rPr/>
  </w:style>
  <w:style w:type="paragraph" w:styleId="Annotationtext">
    <w:name w:val="annotation text"/>
    <w:basedOn w:val="Normal"/>
    <w:link w:val="Style11"/>
    <w:semiHidden/>
    <w:unhideWhenUsed/>
    <w:qFormat/>
    <w:rsid w:val="00ea76ef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2"/>
    <w:semiHidden/>
    <w:unhideWhenUsed/>
    <w:qFormat/>
    <w:rsid w:val="00ea76ef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4">
    <w:name w:val="Table Grid"/>
    <w:basedOn w:val="a1"/>
    <w:uiPriority w:val="59"/>
    <w:rsid w:val="000d6c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image" Target="media/image1.png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<Relationship Id="rId15" Type="http://schemas.openxmlformats.org/officeDocument/2006/relationships/customXml" Target="../customXml/item5.xml"/><Relationship Id="rId16" Type="http://schemas.openxmlformats.org/officeDocument/2006/relationships/customXml" Target="../customXml/item6.xml"/><Relationship Id="rId17" Type="http://schemas.openxmlformats.org/officeDocument/2006/relationships/customXml" Target="../customXml/item7.xml"/><Relationship Id="rId18" Type="http://schemas.openxmlformats.org/officeDocument/2006/relationships/customXml" Target="../customXml/item8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_rels/item6.xml.rels><?xml version="1.0" encoding="UTF-8"?>
<Relationships xmlns="http://schemas.openxmlformats.org/package/2006/relationships"><Relationship Id="rId1" Type="http://schemas.openxmlformats.org/officeDocument/2006/relationships/customXmlProps" Target="itemProps6.xml"/>
</Relationships>
</file>

<file path=customXml/_rels/item7.xml.rels><?xml version="1.0" encoding="UTF-8"?>
<Relationships xmlns="http://schemas.openxmlformats.org/package/2006/relationships"><Relationship Id="rId1" Type="http://schemas.openxmlformats.org/officeDocument/2006/relationships/customXmlProps" Target="itemProps7.xml"/>
</Relationships>
</file>

<file path=customXml/_rels/item8.xml.rels><?xml version="1.0" encoding="UTF-8"?>
<Relationships xmlns="http://schemas.openxmlformats.org/package/2006/relationships"><Relationship Id="rId1" Type="http://schemas.openxmlformats.org/officeDocument/2006/relationships/customXmlProps" Target="itemProps8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9AF1D-B446-4F94-9E1B-862F457575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F038AF-08F3-483F-83AC-097A2FD9BE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CB83F6-438B-4431-9039-9CCF6EFFE2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198937-B20D-44E0-A9A3-14B99BCF403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80682A9-800D-407C-B0CC-CEE3CB0E9F7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ACBAB42-99ED-44BC-A72E-9AC7D514A21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2839957-8EBC-4A20-B7B6-C18402F233E9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6BB3043-1C84-4B2F-B228-C6585FF9D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AlterOffice/3.3.1.3$Linux_X86_64 LibreOffice_project/90d829a0d92d6015ad4fa014ce4f460a7fe6c0ba</Application>
  <AppVersion>15.0000</AppVersion>
  <Pages>5</Pages>
  <Words>1126</Words>
  <Characters>8128</Characters>
  <CharactersWithSpaces>9196</CharactersWithSpaces>
  <Paragraphs>63</Paragraphs>
  <Company>ОАО Амурэнерго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2026-04-30T07:25:00Z</dcterms:created>
  <dc:creator>Власов Михаил Владимирович</dc:creator>
  <dc:description/>
  <dc:language>ru-RU</dc:language>
  <cp:lastModifiedBy>kovrizhkina_ey</cp:lastModifiedBy>
  <cp:lastPrinted>2024-05-22T13:44:00Z</cp:lastPrinted>
  <dcterms:modified xsi:type="dcterms:W3CDTF">2026-05-25T08:35:51Z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